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color w:val="ed7d31"/>
          <w:sz w:val="32"/>
          <w:szCs w:val="32"/>
        </w:rPr>
      </w:pPr>
      <w:bookmarkStart w:colFirst="0" w:colLast="0" w:name="_q7jux5bgkofn" w:id="0"/>
      <w:bookmarkEnd w:id="0"/>
      <w:r w:rsidDel="00000000" w:rsidR="00000000" w:rsidRPr="00000000">
        <w:rPr>
          <w:b w:val="1"/>
          <w:color w:val="ed7d31"/>
          <w:sz w:val="40"/>
          <w:szCs w:val="40"/>
          <w:rtl w:val="0"/>
        </w:rPr>
        <w:t xml:space="preserve">Upvc Door Handle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I hereby authorise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-Upvc Door Handle-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-Upvc Door Handle-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ed7d31"/>
        <w:rtl w:val="0"/>
      </w:rPr>
      <w:t xml:space="preserve">Upvc Door Handle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  <w:rtl w:val="0"/>
      </w:rPr>
      <w:t xml:space="preserve"> – </w:t>
    </w:r>
    <w:r w:rsidDel="00000000" w:rsidR="00000000" w:rsidRPr="00000000">
      <w:rPr>
        <w:color w:val="ed7d31"/>
        <w:rtl w:val="0"/>
      </w:rPr>
      <w:t xml:space="preserve">01205612667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